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Проект подготовлен постоянной комиссией</w:t>
      </w:r>
    </w:p>
    <w:p w:rsid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по Регламенту и правовым вопросам</w:t>
      </w:r>
    </w:p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386" w:type="dxa"/>
        <w:tblInd w:w="-142" w:type="dxa"/>
        <w:tblLook w:val="01E0" w:firstRow="1" w:lastRow="1" w:firstColumn="1" w:lastColumn="1" w:noHBand="0" w:noVBand="0"/>
      </w:tblPr>
      <w:tblGrid>
        <w:gridCol w:w="3970"/>
        <w:gridCol w:w="6120"/>
        <w:gridCol w:w="9648"/>
        <w:gridCol w:w="9648"/>
      </w:tblGrid>
      <w:tr w:rsidR="001F018C" w:rsidRPr="001F018C" w:rsidTr="001F018C">
        <w:trPr>
          <w:trHeight w:val="2564"/>
        </w:trPr>
        <w:tc>
          <w:tcPr>
            <w:tcW w:w="10090" w:type="dxa"/>
            <w:gridSpan w:val="2"/>
            <w:shd w:val="clear" w:color="auto" w:fill="auto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F018C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1A082B5" wp14:editId="05C3085D">
                  <wp:extent cx="581025" cy="9429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8C" w:rsidRPr="001F018C" w:rsidRDefault="001F018C" w:rsidP="000639A3">
            <w:pPr>
              <w:pStyle w:val="ac"/>
            </w:pPr>
            <w:r w:rsidRPr="001F018C">
              <w:t>ДУМА ГОРОДА ТОМСКА</w:t>
            </w:r>
          </w:p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018C">
              <w:rPr>
                <w:rFonts w:ascii="Times New Roman" w:hAnsi="Times New Roman" w:cs="Times New Roman"/>
                <w:b/>
                <w:sz w:val="28"/>
              </w:rPr>
              <w:t>РЕШЕНИЕ</w:t>
            </w:r>
          </w:p>
          <w:p w:rsidR="001F018C" w:rsidRPr="001F018C" w:rsidRDefault="001F018C" w:rsidP="000639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1F018C" w:rsidRPr="001F018C" w:rsidTr="001F018C">
        <w:trPr>
          <w:trHeight w:val="301"/>
        </w:trPr>
        <w:tc>
          <w:tcPr>
            <w:tcW w:w="3970" w:type="dxa"/>
            <w:shd w:val="clear" w:color="auto" w:fill="auto"/>
            <w:vAlign w:val="center"/>
          </w:tcPr>
          <w:p w:rsidR="001F018C" w:rsidRPr="001F018C" w:rsidRDefault="001F018C" w:rsidP="0047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8C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 w:rsidR="00475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  <w:r w:rsidRPr="001F018C">
              <w:rPr>
                <w:rFonts w:ascii="Times New Roman" w:hAnsi="Times New Roman" w:cs="Times New Roman"/>
              </w:rPr>
              <w:t xml:space="preserve">       </w:t>
            </w:r>
            <w:r w:rsidR="006A2703">
              <w:rPr>
                <w:rFonts w:ascii="Times New Roman" w:hAnsi="Times New Roman" w:cs="Times New Roman"/>
              </w:rPr>
              <w:t xml:space="preserve">              </w:t>
            </w:r>
            <w:r w:rsidRPr="001F018C">
              <w:rPr>
                <w:rFonts w:ascii="Times New Roman" w:hAnsi="Times New Roman" w:cs="Times New Roman"/>
              </w:rPr>
              <w:t>№ ___</w:t>
            </w:r>
            <w:r w:rsidR="006A2703">
              <w:rPr>
                <w:rFonts w:ascii="Times New Roman" w:hAnsi="Times New Roman" w:cs="Times New Roman"/>
              </w:rPr>
              <w:t>_</w:t>
            </w:r>
            <w:r w:rsidRPr="001F018C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1F018C">
        <w:trPr>
          <w:trHeight w:val="1598"/>
        </w:trPr>
        <w:tc>
          <w:tcPr>
            <w:tcW w:w="3970" w:type="dxa"/>
            <w:shd w:val="clear" w:color="auto" w:fill="auto"/>
            <w:vAlign w:val="center"/>
          </w:tcPr>
          <w:p w:rsidR="001F018C" w:rsidRPr="001A0E02" w:rsidRDefault="001F018C" w:rsidP="000662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06627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Думы Города Томска от 06.12.2016 № 438 «Об утверждении нормативных затрат на обеспечение функций Думы Города Томска»</w:t>
            </w:r>
          </w:p>
        </w:tc>
        <w:tc>
          <w:tcPr>
            <w:tcW w:w="6120" w:type="dxa"/>
            <w:shd w:val="clear" w:color="auto" w:fill="auto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1F018C">
        <w:trPr>
          <w:trHeight w:val="1519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1F018C" w:rsidRPr="001F018C" w:rsidRDefault="001F018C" w:rsidP="0096494D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  <w:r w:rsidRPr="001F018C">
              <w:rPr>
                <w:sz w:val="24"/>
              </w:rPr>
              <w:t>В соответствии с частью 5 статьи 19 Федерального закона от 05.04.201</w:t>
            </w:r>
            <w:r w:rsidR="005C0075">
              <w:rPr>
                <w:sz w:val="24"/>
              </w:rPr>
              <w:t>3</w:t>
            </w:r>
            <w:r w:rsidRPr="001F018C">
              <w:rPr>
                <w:sz w:val="24"/>
              </w:rPr>
              <w:t xml:space="preserve"> № 44-ФЗ </w:t>
            </w:r>
            <w:r w:rsidR="00096AAE">
              <w:rPr>
                <w:sz w:val="24"/>
              </w:rPr>
              <w:t xml:space="preserve">                              </w:t>
            </w:r>
            <w:r w:rsidRPr="001F018C">
              <w:rPr>
                <w:sz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Томска от 18.05.2016 № 418 «Об утверждении требований к порядку разработки и принятия правовых актов о  нормировании в сфере закупок для обеспечения муниципальных нужд муниципального образования </w:t>
            </w:r>
            <w:r w:rsidR="0096494D">
              <w:rPr>
                <w:sz w:val="24"/>
              </w:rPr>
              <w:t xml:space="preserve">                        </w:t>
            </w:r>
            <w:r w:rsidRPr="001F018C">
              <w:rPr>
                <w:sz w:val="24"/>
              </w:rPr>
              <w:t xml:space="preserve">«Город Томск», содержанию указанных актов и обеспечению их исполнения», </w:t>
            </w:r>
            <w:r w:rsidR="00BE50B2">
              <w:rPr>
                <w:sz w:val="24"/>
              </w:rPr>
              <w:t xml:space="preserve">в целях пересмотра нормативных затрат для обеспечения Думы Города Томска </w:t>
            </w:r>
            <w:r w:rsidR="0006627A">
              <w:rPr>
                <w:sz w:val="24"/>
              </w:rPr>
              <w:t>для</w:t>
            </w:r>
            <w:r w:rsidR="00BE50B2">
              <w:rPr>
                <w:sz w:val="24"/>
              </w:rPr>
              <w:t xml:space="preserve"> подготовк</w:t>
            </w:r>
            <w:r w:rsidR="0006627A">
              <w:rPr>
                <w:sz w:val="24"/>
              </w:rPr>
              <w:t>и</w:t>
            </w:r>
            <w:r w:rsidR="00BE50B2">
              <w:rPr>
                <w:sz w:val="24"/>
              </w:rPr>
              <w:t xml:space="preserve"> обоснований объемов бюджетных ассигнований для осуществления закупок товаров, работ, услуг для Думы Города Томска на 20</w:t>
            </w:r>
            <w:r w:rsidR="00096AAE">
              <w:rPr>
                <w:sz w:val="24"/>
              </w:rPr>
              <w:t>20</w:t>
            </w:r>
            <w:r w:rsidR="00BE50B2">
              <w:rPr>
                <w:sz w:val="24"/>
              </w:rPr>
              <w:t xml:space="preserve"> год, </w:t>
            </w:r>
            <w:r w:rsidR="004E67FA">
              <w:rPr>
                <w:sz w:val="24"/>
              </w:rPr>
              <w:t xml:space="preserve">руководствуясь </w:t>
            </w:r>
            <w:r w:rsidRPr="001F018C">
              <w:rPr>
                <w:sz w:val="24"/>
              </w:rPr>
              <w:t>Уставом Города Томска,</w:t>
            </w:r>
          </w:p>
        </w:tc>
        <w:tc>
          <w:tcPr>
            <w:tcW w:w="9648" w:type="dxa"/>
          </w:tcPr>
          <w:p w:rsidR="001F018C" w:rsidRPr="001F018C" w:rsidRDefault="001F018C" w:rsidP="000639A3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</w:p>
        </w:tc>
      </w:tr>
    </w:tbl>
    <w:p w:rsidR="001F018C" w:rsidRPr="001F018C" w:rsidRDefault="001F018C" w:rsidP="001F018C">
      <w:pPr>
        <w:spacing w:before="240" w:after="240"/>
        <w:ind w:firstLine="567"/>
        <w:jc w:val="center"/>
        <w:rPr>
          <w:rFonts w:ascii="Times New Roman" w:hAnsi="Times New Roman" w:cs="Times New Roman"/>
        </w:rPr>
      </w:pPr>
      <w:r w:rsidRPr="001A0E02">
        <w:rPr>
          <w:rFonts w:ascii="Times New Roman" w:hAnsi="Times New Roman" w:cs="Times New Roman"/>
          <w:sz w:val="24"/>
          <w:szCs w:val="24"/>
        </w:rPr>
        <w:t>Дума РЕШИЛА</w:t>
      </w:r>
      <w:r w:rsidRPr="001F018C">
        <w:rPr>
          <w:rFonts w:ascii="Times New Roman" w:hAnsi="Times New Roman" w:cs="Times New Roman"/>
        </w:rPr>
        <w:t>:</w:t>
      </w:r>
    </w:p>
    <w:p w:rsidR="00BE50B2" w:rsidRPr="00BE50B2" w:rsidRDefault="001F018C" w:rsidP="00BE50B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1F018C">
        <w:rPr>
          <w:sz w:val="24"/>
          <w:szCs w:val="24"/>
        </w:rPr>
        <w:t xml:space="preserve">решение Думы Города Томска от 06.12.2016 № 438 «Об утверждении нормативных затрат на </w:t>
      </w:r>
      <w:r w:rsidR="00FC3E6F" w:rsidRPr="00FC3E6F">
        <w:rPr>
          <w:sz w:val="24"/>
          <w:szCs w:val="24"/>
        </w:rPr>
        <w:t xml:space="preserve">обеспечение функций </w:t>
      </w:r>
      <w:r w:rsidR="00FC3E6F">
        <w:rPr>
          <w:sz w:val="24"/>
          <w:szCs w:val="24"/>
        </w:rPr>
        <w:t>Д</w:t>
      </w:r>
      <w:r w:rsidR="00FC3E6F" w:rsidRPr="00FC3E6F">
        <w:rPr>
          <w:sz w:val="24"/>
          <w:szCs w:val="24"/>
        </w:rPr>
        <w:t xml:space="preserve">умы </w:t>
      </w:r>
      <w:r w:rsidR="00FC3E6F">
        <w:rPr>
          <w:sz w:val="24"/>
          <w:szCs w:val="24"/>
        </w:rPr>
        <w:t>Г</w:t>
      </w:r>
      <w:r w:rsidR="00FC3E6F" w:rsidRPr="00FC3E6F">
        <w:rPr>
          <w:sz w:val="24"/>
          <w:szCs w:val="24"/>
        </w:rPr>
        <w:t xml:space="preserve">орода </w:t>
      </w:r>
      <w:r w:rsidR="00FC3E6F">
        <w:rPr>
          <w:sz w:val="24"/>
          <w:szCs w:val="24"/>
        </w:rPr>
        <w:t>Т</w:t>
      </w:r>
      <w:r w:rsidR="00FC3E6F" w:rsidRPr="00FC3E6F">
        <w:rPr>
          <w:sz w:val="24"/>
          <w:szCs w:val="24"/>
        </w:rPr>
        <w:t>омска» следующ</w:t>
      </w:r>
      <w:r w:rsidR="006A2703">
        <w:rPr>
          <w:sz w:val="24"/>
          <w:szCs w:val="24"/>
        </w:rPr>
        <w:t>и</w:t>
      </w:r>
      <w:r w:rsidR="00FC3E6F" w:rsidRPr="00FC3E6F">
        <w:rPr>
          <w:sz w:val="24"/>
          <w:szCs w:val="24"/>
        </w:rPr>
        <w:t>е изменени</w:t>
      </w:r>
      <w:r w:rsidR="006A2703">
        <w:rPr>
          <w:sz w:val="24"/>
          <w:szCs w:val="24"/>
        </w:rPr>
        <w:t>я</w:t>
      </w:r>
      <w:r w:rsidR="00FC3E6F" w:rsidRPr="00FC3E6F">
        <w:rPr>
          <w:sz w:val="24"/>
          <w:szCs w:val="24"/>
        </w:rPr>
        <w:t>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3E6F" w:rsidRPr="00FC3E6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E6F" w:rsidRPr="00FC3E6F">
        <w:rPr>
          <w:rFonts w:ascii="Times New Roman" w:hAnsi="Times New Roman" w:cs="Times New Roman"/>
          <w:sz w:val="24"/>
          <w:szCs w:val="24"/>
        </w:rPr>
        <w:t xml:space="preserve"> «</w:t>
      </w:r>
      <w:r w:rsidR="00FC3E6F" w:rsidRPr="00FC3E6F">
        <w:rPr>
          <w:rFonts w:ascii="Times New Roman" w:hAnsi="Times New Roman" w:cs="Times New Roman"/>
          <w:bCs/>
          <w:sz w:val="24"/>
          <w:szCs w:val="24"/>
        </w:rPr>
        <w:t>Порядок расчета нормативных затрат, для которых правилами определения нормативных затрат</w:t>
      </w:r>
      <w:r w:rsidR="00FC3E6F" w:rsidRPr="00FC3E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C3E6F" w:rsidRPr="00FC3E6F">
        <w:rPr>
          <w:rFonts w:ascii="Times New Roman" w:hAnsi="Times New Roman" w:cs="Times New Roman"/>
          <w:bCs/>
          <w:sz w:val="24"/>
          <w:szCs w:val="24"/>
        </w:rPr>
        <w:t xml:space="preserve"> не установлен порядок их расчета»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096AAE">
        <w:rPr>
          <w:rFonts w:ascii="Times New Roman" w:hAnsi="Times New Roman" w:cs="Times New Roman"/>
          <w:bCs/>
          <w:sz w:val="24"/>
          <w:szCs w:val="24"/>
        </w:rPr>
        <w:t>дополнить пункт 2 подпунктом 3 следующего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E50B2" w:rsidRPr="00096AAE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09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</w:t>
      </w: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6AAE" w:rsidRPr="00096AAE">
        <w:rPr>
          <w:rFonts w:ascii="Times New Roman" w:hAnsi="Times New Roman" w:cs="Times New Roman"/>
          <w:sz w:val="24"/>
          <w:szCs w:val="24"/>
        </w:rPr>
        <w:t>Затраты, связанные с проведением и сопровождением (техническим) мероприятий</w:t>
      </w:r>
      <w:r w:rsidRPr="0009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</w:t>
      </w:r>
      <w:r w:rsidR="00096AAE" w:rsidRPr="0009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нужд </w:t>
      </w:r>
      <w:r w:rsidRPr="00096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Думы Города Томска определяются по следующей формуле: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DE5E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тех.мер</w:t>
      </w:r>
      <w:proofErr w:type="spellEnd"/>
      <w:r w:rsidR="00DE5E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V x 0,5%,</w:t>
      </w:r>
    </w:p>
    <w:p w:rsidR="0096494D" w:rsidRDefault="0096494D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494D" w:rsidRDefault="0096494D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- совокупный годовой объем закупок (утвержденный </w:t>
      </w:r>
      <w:r w:rsidRPr="005A0D8D">
        <w:rPr>
          <w:rFonts w:ascii="Times New Roman" w:hAnsi="Times New Roman" w:cs="Times New Roman"/>
          <w:bCs/>
          <w:sz w:val="24"/>
          <w:szCs w:val="24"/>
        </w:rPr>
        <w:t>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</w:t>
      </w:r>
      <w:r>
        <w:rPr>
          <w:rFonts w:ascii="Times New Roman" w:hAnsi="Times New Roman" w:cs="Times New Roman"/>
          <w:bCs/>
          <w:sz w:val="24"/>
          <w:szCs w:val="24"/>
        </w:rPr>
        <w:t>те в указанном финансовом году).»;</w:t>
      </w:r>
    </w:p>
    <w:p w:rsidR="00013F69" w:rsidRPr="00BE50B2" w:rsidRDefault="0075138F" w:rsidP="00013F69">
      <w:pPr>
        <w:pStyle w:val="ConsPlusNormal"/>
        <w:spacing w:line="360" w:lineRule="auto"/>
        <w:ind w:firstLine="539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</w:t>
      </w:r>
      <w:r w:rsidR="00013F69" w:rsidRPr="00BE50B2">
        <w:rPr>
          <w:color w:val="000000" w:themeColor="text1"/>
          <w:sz w:val="24"/>
          <w:szCs w:val="24"/>
        </w:rPr>
        <w:t>) дополнить пунктом</w:t>
      </w:r>
      <w:r w:rsidR="00013F69" w:rsidRPr="00BE50B2">
        <w:rPr>
          <w:bCs/>
          <w:color w:val="000000" w:themeColor="text1"/>
          <w:sz w:val="24"/>
          <w:szCs w:val="24"/>
        </w:rPr>
        <w:t xml:space="preserve"> 2</w:t>
      </w:r>
      <w:r w:rsidR="00013F69" w:rsidRPr="00013F69">
        <w:rPr>
          <w:bCs/>
          <w:color w:val="000000" w:themeColor="text1"/>
          <w:sz w:val="24"/>
          <w:szCs w:val="24"/>
        </w:rPr>
        <w:t>9</w:t>
      </w:r>
      <w:r w:rsidR="00013F69" w:rsidRPr="00BE50B2">
        <w:rPr>
          <w:bCs/>
          <w:color w:val="000000" w:themeColor="text1"/>
          <w:sz w:val="24"/>
          <w:szCs w:val="24"/>
        </w:rPr>
        <w:t xml:space="preserve"> следующе</w:t>
      </w:r>
      <w:r w:rsidR="00DE5ED9">
        <w:rPr>
          <w:bCs/>
          <w:color w:val="000000" w:themeColor="text1"/>
          <w:sz w:val="24"/>
          <w:szCs w:val="24"/>
        </w:rPr>
        <w:t>го содержания</w:t>
      </w:r>
      <w:r w:rsidR="00013F69" w:rsidRPr="00BE50B2">
        <w:rPr>
          <w:bCs/>
          <w:color w:val="000000" w:themeColor="text1"/>
          <w:sz w:val="24"/>
          <w:szCs w:val="24"/>
        </w:rPr>
        <w:t>:</w:t>
      </w:r>
    </w:p>
    <w:p w:rsidR="00013F69" w:rsidRDefault="00013F69" w:rsidP="00013F69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«2</w:t>
      </w:r>
      <w:r w:rsidR="00475C56">
        <w:rPr>
          <w:color w:val="000000" w:themeColor="text1"/>
          <w:sz w:val="24"/>
          <w:szCs w:val="24"/>
        </w:rPr>
        <w:t>9</w:t>
      </w:r>
      <w:r w:rsidRPr="00BE50B2">
        <w:rPr>
          <w:color w:val="000000" w:themeColor="text1"/>
          <w:sz w:val="24"/>
          <w:szCs w:val="24"/>
        </w:rPr>
        <w:t xml:space="preserve">. </w:t>
      </w:r>
      <w:r>
        <w:rPr>
          <w:sz w:val="24"/>
          <w:szCs w:val="24"/>
        </w:rPr>
        <w:t>Затраты, связанные с обслуживанием домена (доменно</w:t>
      </w:r>
      <w:r w:rsidR="0096494D">
        <w:rPr>
          <w:sz w:val="24"/>
          <w:szCs w:val="24"/>
        </w:rPr>
        <w:t>го</w:t>
      </w:r>
      <w:r>
        <w:rPr>
          <w:sz w:val="24"/>
          <w:szCs w:val="24"/>
        </w:rPr>
        <w:t xml:space="preserve"> им</w:t>
      </w:r>
      <w:r w:rsidR="0096494D">
        <w:rPr>
          <w:sz w:val="24"/>
          <w:szCs w:val="24"/>
        </w:rPr>
        <w:t>ени</w:t>
      </w:r>
      <w:r>
        <w:rPr>
          <w:sz w:val="24"/>
          <w:szCs w:val="24"/>
        </w:rPr>
        <w:t>)</w:t>
      </w:r>
      <w:r w:rsidR="00072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096AAE">
        <w:rPr>
          <w:bCs/>
          <w:color w:val="000000" w:themeColor="text1"/>
          <w:sz w:val="24"/>
          <w:szCs w:val="24"/>
        </w:rPr>
        <w:t>определяются по следующей формуле:</w:t>
      </w:r>
    </w:p>
    <w:p w:rsidR="00013F69" w:rsidRPr="00BE50B2" w:rsidRDefault="00013F69" w:rsidP="00013F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DE5E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домен</w:t>
      </w:r>
      <w:proofErr w:type="spellEnd"/>
      <w:r w:rsidR="00DE5E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V x 0,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</w:t>
      </w: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%,</w:t>
      </w:r>
    </w:p>
    <w:p w:rsidR="00013F69" w:rsidRPr="00BE50B2" w:rsidRDefault="00013F69" w:rsidP="00013F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013F69" w:rsidRDefault="00013F69" w:rsidP="00013F69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color w:val="000000" w:themeColor="text1"/>
          <w:sz w:val="24"/>
          <w:szCs w:val="24"/>
        </w:rPr>
      </w:pPr>
      <w:r w:rsidRPr="00BE50B2">
        <w:rPr>
          <w:bCs/>
          <w:color w:val="000000" w:themeColor="text1"/>
          <w:sz w:val="24"/>
          <w:szCs w:val="24"/>
        </w:rPr>
        <w:t xml:space="preserve">V - совокупный годовой объем закупок (утвержденный </w:t>
      </w:r>
      <w:r w:rsidRPr="005A0D8D">
        <w:rPr>
          <w:bCs/>
          <w:sz w:val="24"/>
          <w:szCs w:val="24"/>
        </w:rPr>
        <w:t>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</w:t>
      </w:r>
      <w:r>
        <w:rPr>
          <w:bCs/>
          <w:sz w:val="24"/>
          <w:szCs w:val="24"/>
        </w:rPr>
        <w:t>те в указанном финансовом году).».</w:t>
      </w:r>
    </w:p>
    <w:p w:rsidR="001F018C" w:rsidRPr="0006627A" w:rsidRDefault="001F018C" w:rsidP="0006627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39"/>
        <w:jc w:val="both"/>
        <w:rPr>
          <w:color w:val="000000" w:themeColor="text1"/>
          <w:sz w:val="24"/>
          <w:szCs w:val="24"/>
        </w:rPr>
      </w:pPr>
      <w:r w:rsidRPr="0006627A">
        <w:rPr>
          <w:sz w:val="24"/>
          <w:szCs w:val="24"/>
        </w:rPr>
        <w:t xml:space="preserve">Разместить настоящее решение на официальном сайте Думы Города Томска в информационно-телекоммуникационной сети «Интернет» (http://www.duma70.ru/) и в единой информационной системе в сфере </w:t>
      </w:r>
      <w:r w:rsidRPr="0006627A">
        <w:rPr>
          <w:color w:val="000000" w:themeColor="text1"/>
          <w:sz w:val="24"/>
          <w:szCs w:val="24"/>
        </w:rPr>
        <w:t>закупок (</w:t>
      </w:r>
      <w:hyperlink r:id="rId7" w:history="1">
        <w:r w:rsidRPr="0006627A">
          <w:rPr>
            <w:rStyle w:val="a4"/>
            <w:color w:val="000000" w:themeColor="text1"/>
            <w:sz w:val="24"/>
            <w:szCs w:val="24"/>
            <w:u w:val="none"/>
          </w:rPr>
          <w:t>www.zakupki.gov.ru</w:t>
        </w:r>
      </w:hyperlink>
      <w:r w:rsidRPr="0006627A">
        <w:rPr>
          <w:color w:val="000000" w:themeColor="text1"/>
          <w:sz w:val="24"/>
          <w:szCs w:val="24"/>
        </w:rPr>
        <w:t xml:space="preserve">) в течении </w:t>
      </w:r>
      <w:r w:rsidRPr="0006627A">
        <w:rPr>
          <w:sz w:val="24"/>
          <w:szCs w:val="24"/>
        </w:rPr>
        <w:t>7 рабочих дней со дня его принятия.</w:t>
      </w:r>
    </w:p>
    <w:p w:rsidR="001F018C" w:rsidRPr="001A0E02" w:rsidRDefault="00FC3E6F" w:rsidP="0006627A">
      <w:pPr>
        <w:pStyle w:val="ad"/>
        <w:tabs>
          <w:tab w:val="left" w:pos="851"/>
          <w:tab w:val="left" w:pos="993"/>
          <w:tab w:val="left" w:pos="7667"/>
        </w:tabs>
        <w:spacing w:line="360" w:lineRule="auto"/>
        <w:ind w:left="0" w:right="99" w:firstLine="539"/>
        <w:jc w:val="both"/>
      </w:pPr>
      <w:r>
        <w:t>3</w:t>
      </w:r>
      <w:r w:rsidR="001F018C" w:rsidRPr="001A0E02">
        <w:t>. </w:t>
      </w:r>
      <w:r w:rsidR="001A0E02">
        <w:t xml:space="preserve">  </w:t>
      </w:r>
      <w:r w:rsidR="001F018C" w:rsidRPr="001A0E02">
        <w:t>Настоящее решение вступает в силу с даты его принятия.</w:t>
      </w:r>
    </w:p>
    <w:p w:rsidR="001F018C" w:rsidRPr="001A0E02" w:rsidRDefault="00FC3E6F" w:rsidP="0006627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18C" w:rsidRPr="001A0E02">
        <w:rPr>
          <w:rFonts w:ascii="Times New Roman" w:hAnsi="Times New Roman" w:cs="Times New Roman"/>
          <w:sz w:val="24"/>
          <w:szCs w:val="24"/>
        </w:rPr>
        <w:t xml:space="preserve">. </w:t>
      </w:r>
      <w:r w:rsidR="0006627A">
        <w:rPr>
          <w:rFonts w:ascii="Times New Roman" w:hAnsi="Times New Roman" w:cs="Times New Roman"/>
          <w:sz w:val="24"/>
          <w:szCs w:val="24"/>
        </w:rPr>
        <w:t xml:space="preserve"> </w:t>
      </w:r>
      <w:r w:rsidR="001F018C" w:rsidRPr="001A0E0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 и правовым вопросам Думы Города Томска (</w:t>
      </w:r>
      <w:proofErr w:type="spellStart"/>
      <w:r w:rsidR="001F018C" w:rsidRPr="001A0E02">
        <w:rPr>
          <w:rFonts w:ascii="Times New Roman" w:hAnsi="Times New Roman" w:cs="Times New Roman"/>
          <w:sz w:val="24"/>
          <w:szCs w:val="24"/>
        </w:rPr>
        <w:t>М.Ю.Корнев</w:t>
      </w:r>
      <w:proofErr w:type="spellEnd"/>
      <w:r w:rsidR="001F018C" w:rsidRPr="001A0E02">
        <w:rPr>
          <w:rFonts w:ascii="Times New Roman" w:hAnsi="Times New Roman" w:cs="Times New Roman"/>
          <w:sz w:val="24"/>
          <w:szCs w:val="24"/>
        </w:rPr>
        <w:t>).</w:t>
      </w:r>
    </w:p>
    <w:p w:rsidR="001F018C" w:rsidRPr="001A0E02" w:rsidRDefault="001F018C" w:rsidP="001F018C">
      <w:pPr>
        <w:pStyle w:val="ad"/>
        <w:tabs>
          <w:tab w:val="left" w:pos="7667"/>
        </w:tabs>
        <w:spacing w:line="360" w:lineRule="auto"/>
        <w:ind w:left="0" w:right="-2" w:firstLine="567"/>
        <w:jc w:val="both"/>
      </w:pPr>
    </w:p>
    <w:p w:rsidR="001F018C" w:rsidRPr="001A0E02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F018C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Думы Города Томска                     </w:t>
      </w:r>
      <w:r w:rsidRPr="001A0E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3E1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A0E02">
        <w:rPr>
          <w:rFonts w:ascii="Times New Roman" w:hAnsi="Times New Roman" w:cs="Times New Roman"/>
          <w:sz w:val="24"/>
          <w:szCs w:val="24"/>
        </w:rPr>
        <w:t>С.Ю.Панов</w:t>
      </w:r>
      <w:proofErr w:type="spellEnd"/>
      <w:r w:rsidRPr="001A0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138F" w:rsidRDefault="0075138F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8F" w:rsidRDefault="0075138F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8F" w:rsidRDefault="0075138F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8F" w:rsidRDefault="0075138F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38F" w:rsidRDefault="0075138F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20" w:rsidRPr="00475C56" w:rsidRDefault="00823320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5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3320" w:rsidRPr="00475C56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Томска </w:t>
      </w:r>
    </w:p>
    <w:p w:rsidR="00823320" w:rsidRPr="00475C56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06627A" w:rsidRPr="00475C56">
        <w:rPr>
          <w:rFonts w:ascii="Times New Roman" w:hAnsi="Times New Roman" w:cs="Times New Roman"/>
          <w:sz w:val="24"/>
          <w:szCs w:val="24"/>
        </w:rPr>
        <w:t>й</w:t>
      </w:r>
      <w:r w:rsidRPr="00475C56">
        <w:rPr>
          <w:rFonts w:ascii="Times New Roman" w:hAnsi="Times New Roman" w:cs="Times New Roman"/>
          <w:sz w:val="24"/>
          <w:szCs w:val="24"/>
        </w:rPr>
        <w:t xml:space="preserve"> в решение Думы Города Томска от 06.12.2016 № 438 </w:t>
      </w:r>
    </w:p>
    <w:p w:rsidR="00823320" w:rsidRPr="00475C56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>«Об утверждении нормативных затрат на обеспечение функций Думы Города Томска»</w:t>
      </w:r>
    </w:p>
    <w:p w:rsidR="00823320" w:rsidRPr="00475C56" w:rsidRDefault="00823320">
      <w:pPr>
        <w:rPr>
          <w:rFonts w:ascii="Times New Roman" w:hAnsi="Times New Roman" w:cs="Times New Roman"/>
          <w:sz w:val="24"/>
          <w:szCs w:val="24"/>
        </w:rPr>
      </w:pPr>
    </w:p>
    <w:p w:rsidR="00C634D5" w:rsidRPr="0039147B" w:rsidRDefault="00823320" w:rsidP="0039147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eastAsia="Calibri" w:hAnsi="Times New Roman" w:cs="Times New Roman"/>
          <w:sz w:val="24"/>
          <w:szCs w:val="24"/>
        </w:rPr>
        <w:t xml:space="preserve">Представленный проект решения разработан </w:t>
      </w:r>
      <w:r w:rsidRPr="00475C56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Томска от 18.05.2016 № 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Томск».</w:t>
      </w:r>
    </w:p>
    <w:p w:rsidR="00475C56" w:rsidRPr="00475C56" w:rsidRDefault="00823320" w:rsidP="003914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eastAsia="Calibri" w:hAnsi="Times New Roman" w:cs="Times New Roman"/>
          <w:sz w:val="24"/>
          <w:szCs w:val="24"/>
        </w:rPr>
        <w:t>Цел</w:t>
      </w:r>
      <w:r w:rsidR="0006240C">
        <w:rPr>
          <w:rFonts w:ascii="Times New Roman" w:eastAsia="Calibri" w:hAnsi="Times New Roman" w:cs="Times New Roman"/>
          <w:sz w:val="24"/>
          <w:szCs w:val="24"/>
        </w:rPr>
        <w:t>ь</w:t>
      </w:r>
      <w:r w:rsidRPr="00475C56">
        <w:rPr>
          <w:rFonts w:ascii="Times New Roman" w:eastAsia="Calibri" w:hAnsi="Times New Roman" w:cs="Times New Roman"/>
          <w:sz w:val="24"/>
          <w:szCs w:val="24"/>
        </w:rPr>
        <w:t xml:space="preserve"> принятия представленного проекта решения:</w:t>
      </w:r>
      <w:r w:rsidR="00057C6F" w:rsidRPr="00475C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27A" w:rsidRPr="00475C56">
        <w:rPr>
          <w:rFonts w:ascii="Times New Roman" w:eastAsia="Calibri" w:hAnsi="Times New Roman" w:cs="Times New Roman"/>
          <w:sz w:val="24"/>
          <w:szCs w:val="24"/>
        </w:rPr>
        <w:t xml:space="preserve">пересмотр и </w:t>
      </w:r>
      <w:r w:rsidR="00057C6F" w:rsidRPr="00475C56">
        <w:rPr>
          <w:rFonts w:ascii="Times New Roman" w:hAnsi="Times New Roman" w:cs="Times New Roman"/>
          <w:sz w:val="24"/>
          <w:szCs w:val="24"/>
        </w:rPr>
        <w:t>дополнение</w:t>
      </w:r>
      <w:r w:rsidR="000639A3" w:rsidRPr="00475C56">
        <w:rPr>
          <w:rFonts w:ascii="Times New Roman" w:hAnsi="Times New Roman" w:cs="Times New Roman"/>
          <w:sz w:val="24"/>
          <w:szCs w:val="24"/>
        </w:rPr>
        <w:t xml:space="preserve"> порядка расчета нормативных затрат</w:t>
      </w:r>
      <w:r w:rsidR="0006627A" w:rsidRPr="00475C56">
        <w:rPr>
          <w:rFonts w:ascii="Times New Roman" w:hAnsi="Times New Roman" w:cs="Times New Roman"/>
          <w:sz w:val="24"/>
          <w:szCs w:val="24"/>
        </w:rPr>
        <w:t xml:space="preserve"> в целях подготовки обоснований объемов бюджетных ассигнований для осуществления закупок товаров, работ, услуг для Думы Города Томска </w:t>
      </w:r>
      <w:r w:rsidR="00ED3E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627A" w:rsidRPr="00475C56">
        <w:rPr>
          <w:rFonts w:ascii="Times New Roman" w:hAnsi="Times New Roman" w:cs="Times New Roman"/>
          <w:sz w:val="24"/>
          <w:szCs w:val="24"/>
        </w:rPr>
        <w:t>на 20</w:t>
      </w:r>
      <w:r w:rsidR="00013F69" w:rsidRPr="00475C56">
        <w:rPr>
          <w:rFonts w:ascii="Times New Roman" w:hAnsi="Times New Roman" w:cs="Times New Roman"/>
          <w:sz w:val="24"/>
          <w:szCs w:val="24"/>
        </w:rPr>
        <w:t>20</w:t>
      </w:r>
      <w:r w:rsidR="0006627A" w:rsidRPr="00475C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47B" w:rsidRDefault="0006627A" w:rsidP="0039147B">
      <w:pPr>
        <w:pStyle w:val="ConsPlusNormal"/>
        <w:tabs>
          <w:tab w:val="left" w:pos="993"/>
        </w:tabs>
        <w:ind w:firstLine="851"/>
        <w:jc w:val="both"/>
        <w:rPr>
          <w:bCs/>
          <w:sz w:val="24"/>
          <w:szCs w:val="24"/>
        </w:rPr>
      </w:pPr>
      <w:r w:rsidRPr="00475C56">
        <w:rPr>
          <w:bCs/>
          <w:sz w:val="24"/>
          <w:szCs w:val="24"/>
        </w:rPr>
        <w:t xml:space="preserve">В ходе анализа расчета нормативных затрат выявлена необходимость изменения </w:t>
      </w:r>
      <w:r w:rsidR="000B1783">
        <w:rPr>
          <w:bCs/>
          <w:sz w:val="24"/>
          <w:szCs w:val="24"/>
        </w:rPr>
        <w:t>и дополнения вышеуказанного решения Думы Города Томска</w:t>
      </w:r>
      <w:r w:rsidRPr="00475C56">
        <w:rPr>
          <w:bCs/>
          <w:sz w:val="24"/>
          <w:szCs w:val="24"/>
        </w:rPr>
        <w:t xml:space="preserve"> </w:t>
      </w:r>
      <w:r w:rsidR="0039147B">
        <w:rPr>
          <w:bCs/>
          <w:sz w:val="24"/>
          <w:szCs w:val="24"/>
        </w:rPr>
        <w:t>следующи</w:t>
      </w:r>
      <w:r w:rsidR="000B1783">
        <w:rPr>
          <w:bCs/>
          <w:sz w:val="24"/>
          <w:szCs w:val="24"/>
        </w:rPr>
        <w:t>ми</w:t>
      </w:r>
      <w:r w:rsidR="0039147B">
        <w:rPr>
          <w:bCs/>
          <w:sz w:val="24"/>
          <w:szCs w:val="24"/>
        </w:rPr>
        <w:t xml:space="preserve"> затрат</w:t>
      </w:r>
      <w:r w:rsidR="000B1783">
        <w:rPr>
          <w:bCs/>
          <w:sz w:val="24"/>
          <w:szCs w:val="24"/>
        </w:rPr>
        <w:t>ами</w:t>
      </w:r>
      <w:r w:rsidR="0039147B">
        <w:rPr>
          <w:bCs/>
          <w:sz w:val="24"/>
          <w:szCs w:val="24"/>
        </w:rPr>
        <w:t>:</w:t>
      </w:r>
    </w:p>
    <w:p w:rsidR="000B1783" w:rsidRPr="00475C56" w:rsidRDefault="000B1783" w:rsidP="000B1783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в рамках затрат,</w:t>
      </w:r>
      <w:r w:rsidRPr="000B1783">
        <w:rPr>
          <w:color w:val="000000" w:themeColor="text1"/>
          <w:sz w:val="24"/>
          <w:szCs w:val="24"/>
        </w:rPr>
        <w:t xml:space="preserve"> </w:t>
      </w:r>
      <w:r w:rsidRPr="00475C56">
        <w:rPr>
          <w:color w:val="000000" w:themeColor="text1"/>
          <w:sz w:val="24"/>
          <w:szCs w:val="24"/>
        </w:rPr>
        <w:t>связанны</w:t>
      </w:r>
      <w:r>
        <w:rPr>
          <w:color w:val="000000" w:themeColor="text1"/>
          <w:sz w:val="24"/>
          <w:szCs w:val="24"/>
        </w:rPr>
        <w:t>х</w:t>
      </w:r>
      <w:r w:rsidRPr="00475C56">
        <w:rPr>
          <w:color w:val="000000" w:themeColor="text1"/>
          <w:sz w:val="24"/>
          <w:szCs w:val="24"/>
        </w:rPr>
        <w:t xml:space="preserve"> с осуществлением представительской деятельности</w:t>
      </w:r>
      <w:r w:rsidR="0006240C">
        <w:rPr>
          <w:color w:val="000000" w:themeColor="text1"/>
          <w:sz w:val="24"/>
          <w:szCs w:val="24"/>
        </w:rPr>
        <w:t>, предлагается</w:t>
      </w:r>
      <w:r>
        <w:rPr>
          <w:color w:val="000000" w:themeColor="text1"/>
          <w:sz w:val="24"/>
          <w:szCs w:val="24"/>
        </w:rPr>
        <w:t xml:space="preserve"> предусмотреть з</w:t>
      </w:r>
      <w:r w:rsidRPr="00475C56">
        <w:rPr>
          <w:sz w:val="24"/>
          <w:szCs w:val="24"/>
        </w:rPr>
        <w:t>атраты, связанные с проведением и сопровождением (техническим) мероприятий</w:t>
      </w:r>
      <w:r w:rsidRPr="00475C56">
        <w:rPr>
          <w:bCs/>
          <w:color w:val="000000" w:themeColor="text1"/>
          <w:sz w:val="24"/>
          <w:szCs w:val="24"/>
        </w:rPr>
        <w:t xml:space="preserve"> для нужд Думы Города Томска</w:t>
      </w:r>
      <w:r>
        <w:rPr>
          <w:bCs/>
          <w:color w:val="000000" w:themeColor="text1"/>
          <w:sz w:val="24"/>
          <w:szCs w:val="24"/>
        </w:rPr>
        <w:t>, которые будут</w:t>
      </w:r>
      <w:r w:rsidRPr="00475C56">
        <w:rPr>
          <w:bCs/>
          <w:color w:val="000000" w:themeColor="text1"/>
          <w:sz w:val="24"/>
          <w:szCs w:val="24"/>
        </w:rPr>
        <w:t xml:space="preserve"> определять</w:t>
      </w:r>
      <w:r>
        <w:rPr>
          <w:bCs/>
          <w:color w:val="000000" w:themeColor="text1"/>
          <w:sz w:val="24"/>
          <w:szCs w:val="24"/>
        </w:rPr>
        <w:t>с</w:t>
      </w:r>
      <w:r w:rsidRPr="00475C56">
        <w:rPr>
          <w:bCs/>
          <w:color w:val="000000" w:themeColor="text1"/>
          <w:sz w:val="24"/>
          <w:szCs w:val="24"/>
        </w:rPr>
        <w:t>я по следующей формуле:</w:t>
      </w:r>
    </w:p>
    <w:p w:rsidR="000B1783" w:rsidRPr="00475C56" w:rsidRDefault="000B1783" w:rsidP="000B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Зтех.мер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475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V x 0,5%,</w:t>
      </w:r>
    </w:p>
    <w:p w:rsidR="000B1783" w:rsidRPr="00475C56" w:rsidRDefault="000B1783" w:rsidP="000B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5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0B1783" w:rsidRPr="00475C56" w:rsidRDefault="000B1783" w:rsidP="000B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- совокупный годовой объем закупок (утвержденный </w:t>
      </w:r>
      <w:r w:rsidRPr="00475C56">
        <w:rPr>
          <w:rFonts w:ascii="Times New Roman" w:hAnsi="Times New Roman" w:cs="Times New Roman"/>
          <w:bCs/>
          <w:sz w:val="24"/>
          <w:szCs w:val="24"/>
        </w:rPr>
        <w:t>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году).»</w:t>
      </w:r>
      <w:r w:rsidR="000624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B1783" w:rsidRPr="000B1783" w:rsidRDefault="000B1783" w:rsidP="000B1783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bCs/>
          <w:color w:val="000000" w:themeColor="text1"/>
          <w:sz w:val="24"/>
          <w:szCs w:val="24"/>
        </w:rPr>
      </w:pPr>
      <w:r w:rsidRPr="000B1783">
        <w:rPr>
          <w:bCs/>
          <w:sz w:val="24"/>
          <w:szCs w:val="24"/>
        </w:rPr>
        <w:t xml:space="preserve">предусмотреть </w:t>
      </w:r>
      <w:r w:rsidRPr="000B1783">
        <w:rPr>
          <w:color w:val="000000" w:themeColor="text1"/>
          <w:sz w:val="24"/>
          <w:szCs w:val="24"/>
        </w:rPr>
        <w:t>затраты</w:t>
      </w:r>
      <w:r w:rsidRPr="000B1783">
        <w:rPr>
          <w:sz w:val="24"/>
          <w:szCs w:val="24"/>
        </w:rPr>
        <w:t xml:space="preserve">, связанные с обслуживанием </w:t>
      </w:r>
      <w:r>
        <w:rPr>
          <w:sz w:val="24"/>
          <w:szCs w:val="24"/>
        </w:rPr>
        <w:t>домена (доменного имени</w:t>
      </w:r>
      <w:hyperlink r:id="rId8" w:history="1"/>
      <w:r w:rsidRPr="000B1783">
        <w:rPr>
          <w:sz w:val="24"/>
          <w:szCs w:val="24"/>
        </w:rPr>
        <w:t>) в сети Интерне, которые будут определяться по формуле</w:t>
      </w:r>
      <w:r>
        <w:rPr>
          <w:sz w:val="24"/>
          <w:szCs w:val="24"/>
        </w:rPr>
        <w:t>:</w:t>
      </w:r>
      <w:r w:rsidRPr="000B1783">
        <w:rPr>
          <w:sz w:val="24"/>
          <w:szCs w:val="24"/>
        </w:rPr>
        <w:t xml:space="preserve"> </w:t>
      </w:r>
    </w:p>
    <w:p w:rsidR="000B1783" w:rsidRDefault="000B1783" w:rsidP="000B1783">
      <w:pPr>
        <w:pStyle w:val="ConsPlusNormal"/>
        <w:tabs>
          <w:tab w:val="left" w:pos="851"/>
          <w:tab w:val="left" w:pos="1134"/>
        </w:tabs>
        <w:ind w:firstLine="851"/>
        <w:jc w:val="center"/>
        <w:rPr>
          <w:bCs/>
          <w:color w:val="000000" w:themeColor="text1"/>
          <w:sz w:val="24"/>
          <w:szCs w:val="24"/>
        </w:rPr>
      </w:pPr>
    </w:p>
    <w:p w:rsidR="000B1783" w:rsidRDefault="000B1783" w:rsidP="000B1783">
      <w:pPr>
        <w:pStyle w:val="ConsPlusNormal"/>
        <w:tabs>
          <w:tab w:val="left" w:pos="851"/>
          <w:tab w:val="left" w:pos="1134"/>
        </w:tabs>
        <w:ind w:firstLine="851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0B1783">
        <w:rPr>
          <w:bCs/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домен</w:t>
      </w:r>
      <w:proofErr w:type="spellEnd"/>
      <w:r w:rsidRPr="000B1783">
        <w:rPr>
          <w:bCs/>
          <w:color w:val="000000" w:themeColor="text1"/>
          <w:sz w:val="24"/>
          <w:szCs w:val="24"/>
        </w:rPr>
        <w:t xml:space="preserve"> = V x 0,01%,</w:t>
      </w:r>
    </w:p>
    <w:p w:rsidR="000B1783" w:rsidRPr="00475C56" w:rsidRDefault="000B1783" w:rsidP="000B1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75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0B1783" w:rsidRPr="00475C56" w:rsidRDefault="000B1783" w:rsidP="000B17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- совокупный годовой объем закупок (утвержденный </w:t>
      </w:r>
      <w:r w:rsidRPr="00475C56">
        <w:rPr>
          <w:rFonts w:ascii="Times New Roman" w:hAnsi="Times New Roman" w:cs="Times New Roman"/>
          <w:bCs/>
          <w:sz w:val="24"/>
          <w:szCs w:val="24"/>
        </w:rPr>
        <w:t xml:space="preserve">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475C56">
        <w:rPr>
          <w:rFonts w:ascii="Times New Roman" w:hAnsi="Times New Roman" w:cs="Times New Roman"/>
          <w:bCs/>
          <w:sz w:val="24"/>
          <w:szCs w:val="24"/>
        </w:rPr>
        <w:t>и подлежащих оплате в указанном финансовом году).»</w:t>
      </w:r>
      <w:r w:rsidR="0075138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475C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320" w:rsidRDefault="00823320" w:rsidP="003914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C56">
        <w:rPr>
          <w:rFonts w:ascii="Times New Roman" w:hAnsi="Times New Roman" w:cs="Times New Roman"/>
          <w:sz w:val="24"/>
          <w:szCs w:val="24"/>
        </w:rPr>
        <w:t xml:space="preserve">Реализация представленного проекта решения не повлечет дополнительных затрат </w:t>
      </w:r>
      <w:r w:rsidR="00ED3E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5C56">
        <w:rPr>
          <w:rFonts w:ascii="Times New Roman" w:hAnsi="Times New Roman" w:cs="Times New Roman"/>
          <w:sz w:val="24"/>
          <w:szCs w:val="24"/>
        </w:rPr>
        <w:t>из средств бюджета муниципального образования «Город Томск», поскольку закупка товаров, работ и услуг осуществляется Думой Города Томска в пределах средств, утвержденных местным бюджетом.</w:t>
      </w:r>
    </w:p>
    <w:p w:rsidR="006A2703" w:rsidRDefault="006A2703" w:rsidP="00C634D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320" w:rsidRPr="005A0D8D" w:rsidRDefault="00823320"/>
    <w:sectPr w:rsidR="00823320" w:rsidRPr="005A0D8D" w:rsidSect="00701EC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98"/>
    <w:multiLevelType w:val="hybridMultilevel"/>
    <w:tmpl w:val="1B20F1CA"/>
    <w:lvl w:ilvl="0" w:tplc="C6AA05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7F3BC3"/>
    <w:multiLevelType w:val="hybridMultilevel"/>
    <w:tmpl w:val="D3A61E3E"/>
    <w:lvl w:ilvl="0" w:tplc="7D883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E6745"/>
    <w:multiLevelType w:val="hybridMultilevel"/>
    <w:tmpl w:val="C14E6498"/>
    <w:lvl w:ilvl="0" w:tplc="3F8C71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0430B8"/>
    <w:multiLevelType w:val="hybridMultilevel"/>
    <w:tmpl w:val="CD9A0444"/>
    <w:lvl w:ilvl="0" w:tplc="C4EA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4E6655"/>
    <w:multiLevelType w:val="hybridMultilevel"/>
    <w:tmpl w:val="C5B4268A"/>
    <w:lvl w:ilvl="0" w:tplc="FDD0C32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3"/>
    <w:rsid w:val="00013F69"/>
    <w:rsid w:val="000160D1"/>
    <w:rsid w:val="00057C6F"/>
    <w:rsid w:val="0006240C"/>
    <w:rsid w:val="000639A3"/>
    <w:rsid w:val="0006627A"/>
    <w:rsid w:val="00072B28"/>
    <w:rsid w:val="00096AAE"/>
    <w:rsid w:val="000B1783"/>
    <w:rsid w:val="000F272A"/>
    <w:rsid w:val="00174DD2"/>
    <w:rsid w:val="0019547B"/>
    <w:rsid w:val="001A0E02"/>
    <w:rsid w:val="001B164E"/>
    <w:rsid w:val="001B2CDE"/>
    <w:rsid w:val="001F018C"/>
    <w:rsid w:val="0023691E"/>
    <w:rsid w:val="00325CF7"/>
    <w:rsid w:val="00365854"/>
    <w:rsid w:val="0039147B"/>
    <w:rsid w:val="00451D38"/>
    <w:rsid w:val="0047060C"/>
    <w:rsid w:val="00475C56"/>
    <w:rsid w:val="004D41AD"/>
    <w:rsid w:val="004E67FA"/>
    <w:rsid w:val="005A0D8D"/>
    <w:rsid w:val="005C0075"/>
    <w:rsid w:val="006831B2"/>
    <w:rsid w:val="006A2703"/>
    <w:rsid w:val="00701ECE"/>
    <w:rsid w:val="0075138F"/>
    <w:rsid w:val="007A3754"/>
    <w:rsid w:val="00823320"/>
    <w:rsid w:val="009523F5"/>
    <w:rsid w:val="0096494D"/>
    <w:rsid w:val="00982953"/>
    <w:rsid w:val="0099044A"/>
    <w:rsid w:val="009F1361"/>
    <w:rsid w:val="00A67FEC"/>
    <w:rsid w:val="00AF169C"/>
    <w:rsid w:val="00B81330"/>
    <w:rsid w:val="00BE4E2A"/>
    <w:rsid w:val="00BE50B2"/>
    <w:rsid w:val="00C256E2"/>
    <w:rsid w:val="00C634D5"/>
    <w:rsid w:val="00C72441"/>
    <w:rsid w:val="00CD5013"/>
    <w:rsid w:val="00D07BD8"/>
    <w:rsid w:val="00D207F8"/>
    <w:rsid w:val="00DE5ED9"/>
    <w:rsid w:val="00E17B14"/>
    <w:rsid w:val="00ED3E1F"/>
    <w:rsid w:val="00F5408F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69BF-CA48-4C90-AB68-30E14A4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08F"/>
  </w:style>
  <w:style w:type="character" w:styleId="a4">
    <w:name w:val="Hyperlink"/>
    <w:basedOn w:val="a0"/>
    <w:uiPriority w:val="99"/>
    <w:unhideWhenUsed/>
    <w:rsid w:val="00F5408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17B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7B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7B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B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7B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B14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qFormat/>
    <w:rsid w:val="001F018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1F018C"/>
    <w:pPr>
      <w:spacing w:after="0" w:line="240" w:lineRule="auto"/>
      <w:ind w:left="-10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01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1F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F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A2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70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8CBBA-FD77-4597-A499-D157328D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Вотенцева Екатерина Андреевна</cp:lastModifiedBy>
  <cp:revision>2</cp:revision>
  <cp:lastPrinted>2019-04-29T03:37:00Z</cp:lastPrinted>
  <dcterms:created xsi:type="dcterms:W3CDTF">2019-04-29T03:51:00Z</dcterms:created>
  <dcterms:modified xsi:type="dcterms:W3CDTF">2019-04-29T03:51:00Z</dcterms:modified>
</cp:coreProperties>
</file>