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1E0" w:firstRow="1" w:lastRow="1" w:firstColumn="1" w:lastColumn="1" w:noHBand="0" w:noVBand="0"/>
      </w:tblPr>
      <w:tblGrid>
        <w:gridCol w:w="4111"/>
        <w:gridCol w:w="5387"/>
      </w:tblGrid>
      <w:tr w:rsidR="0038267B" w:rsidRPr="0038267B" w:rsidTr="006650F8">
        <w:trPr>
          <w:trHeight w:val="2564"/>
        </w:trPr>
        <w:tc>
          <w:tcPr>
            <w:tcW w:w="9498" w:type="dxa"/>
            <w:gridSpan w:val="2"/>
            <w:shd w:val="clear" w:color="auto" w:fill="auto"/>
          </w:tcPr>
          <w:p w:rsidR="0038267B" w:rsidRPr="0038267B" w:rsidRDefault="0038267B" w:rsidP="00665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6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9429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67B" w:rsidRPr="00A42469" w:rsidRDefault="0038267B" w:rsidP="006650F8">
            <w:pPr>
              <w:pStyle w:val="a3"/>
            </w:pPr>
            <w:r w:rsidRPr="00A42469">
              <w:t>ДУМА ГОРОДА ТОМСКА</w:t>
            </w:r>
          </w:p>
          <w:p w:rsidR="0038267B" w:rsidRPr="0020500C" w:rsidRDefault="0038267B" w:rsidP="0020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38267B" w:rsidRPr="0038267B" w:rsidTr="006650F8">
        <w:trPr>
          <w:trHeight w:val="301"/>
        </w:trPr>
        <w:tc>
          <w:tcPr>
            <w:tcW w:w="4111" w:type="dxa"/>
            <w:shd w:val="clear" w:color="auto" w:fill="auto"/>
            <w:vAlign w:val="center"/>
          </w:tcPr>
          <w:p w:rsidR="0038267B" w:rsidRPr="0038267B" w:rsidRDefault="00494BAD" w:rsidP="00964DF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8267B" w:rsidRPr="00382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267B" w:rsidRPr="0038267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8267B" w:rsidRPr="0038267B" w:rsidRDefault="0038267B" w:rsidP="003532B8">
            <w:pPr>
              <w:ind w:firstLine="3861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BAD">
              <w:rPr>
                <w:rFonts w:ascii="Times New Roman" w:hAnsi="Times New Roman" w:cs="Times New Roman"/>
                <w:sz w:val="24"/>
                <w:szCs w:val="24"/>
              </w:rPr>
              <w:t xml:space="preserve">      № </w:t>
            </w:r>
            <w:r w:rsidR="003532B8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38267B" w:rsidRPr="0038267B" w:rsidTr="006650F8">
        <w:trPr>
          <w:trHeight w:val="1598"/>
        </w:trPr>
        <w:tc>
          <w:tcPr>
            <w:tcW w:w="4111" w:type="dxa"/>
            <w:shd w:val="clear" w:color="auto" w:fill="auto"/>
            <w:vAlign w:val="center"/>
          </w:tcPr>
          <w:p w:rsidR="0038267B" w:rsidRDefault="0038267B" w:rsidP="00964DF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сводки предложений общественных объединений, юридических и физических лиц, поступивших по итогам обсуждения </w:t>
            </w:r>
            <w:r w:rsidR="007C187D" w:rsidRPr="0035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проектов</w:t>
            </w:r>
            <w:r w:rsidRPr="0035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правовых актов Думы Города Томска о нормировании  </w:t>
            </w:r>
          </w:p>
          <w:p w:rsidR="0020500C" w:rsidRPr="0020500C" w:rsidRDefault="0020500C" w:rsidP="00964DF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38267B" w:rsidRPr="0038267B" w:rsidRDefault="0038267B" w:rsidP="0066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DF4" w:rsidRDefault="00964DF4" w:rsidP="00964DF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8267B">
        <w:rPr>
          <w:color w:val="000000"/>
          <w:sz w:val="24"/>
          <w:szCs w:val="24"/>
        </w:rPr>
        <w:t xml:space="preserve">Рассмотрев предложения, поступившие по итогам обсуждения </w:t>
      </w:r>
      <w:r w:rsidRPr="0038267B">
        <w:rPr>
          <w:sz w:val="24"/>
          <w:szCs w:val="24"/>
        </w:rPr>
        <w:t>проектов правовых актов о нормировании</w:t>
      </w:r>
      <w:r w:rsidRPr="0038267B">
        <w:rPr>
          <w:color w:val="000000"/>
          <w:sz w:val="24"/>
          <w:szCs w:val="24"/>
        </w:rPr>
        <w:t xml:space="preserve"> в целях осуществления общественного контроля,  в целях </w:t>
      </w:r>
      <w:r w:rsidRPr="0038267B">
        <w:rPr>
          <w:sz w:val="24"/>
          <w:szCs w:val="24"/>
        </w:rPr>
        <w:t>исполнения требований постановления администраци</w:t>
      </w:r>
      <w:r w:rsidR="00C5094A">
        <w:rPr>
          <w:sz w:val="24"/>
          <w:szCs w:val="24"/>
        </w:rPr>
        <w:t>и Города Томска от 18.05.2016 № </w:t>
      </w:r>
      <w:r w:rsidRPr="0038267B">
        <w:rPr>
          <w:sz w:val="24"/>
          <w:szCs w:val="24"/>
        </w:rPr>
        <w:t>418 «Об</w:t>
      </w:r>
      <w:r w:rsidR="00C5094A">
        <w:rPr>
          <w:sz w:val="24"/>
          <w:szCs w:val="24"/>
        </w:rPr>
        <w:t> </w:t>
      </w:r>
      <w:r w:rsidRPr="0038267B">
        <w:rPr>
          <w:sz w:val="24"/>
          <w:szCs w:val="24"/>
        </w:rPr>
        <w:t>утверждении требований к порядку разработки и принятия правовых актов о</w:t>
      </w:r>
      <w:r w:rsidR="00C5094A">
        <w:rPr>
          <w:sz w:val="24"/>
          <w:szCs w:val="24"/>
        </w:rPr>
        <w:t> </w:t>
      </w:r>
      <w:r w:rsidRPr="0038267B">
        <w:rPr>
          <w:sz w:val="24"/>
          <w:szCs w:val="24"/>
        </w:rPr>
        <w:t xml:space="preserve">нормировании в сфере закупок для обеспечения муниципальных нужд муниципального образования «Город Томск», содержанию указанных актов и обеспечению их исполнения», </w:t>
      </w:r>
      <w:r w:rsidRPr="0038267B">
        <w:rPr>
          <w:color w:val="000000"/>
          <w:sz w:val="24"/>
          <w:szCs w:val="24"/>
        </w:rPr>
        <w:t>руководствуясь Уставом Города Томска</w:t>
      </w:r>
    </w:p>
    <w:p w:rsidR="00964DF4" w:rsidRPr="0038267B" w:rsidRDefault="00964DF4" w:rsidP="00964DF4">
      <w:pPr>
        <w:pStyle w:val="ConsPlusNormal"/>
        <w:tabs>
          <w:tab w:val="left" w:pos="1134"/>
        </w:tabs>
        <w:spacing w:before="120" w:after="120" w:line="360" w:lineRule="auto"/>
        <w:jc w:val="center"/>
        <w:rPr>
          <w:sz w:val="24"/>
          <w:szCs w:val="24"/>
        </w:rPr>
      </w:pPr>
      <w:r w:rsidRPr="0038267B">
        <w:rPr>
          <w:sz w:val="24"/>
          <w:szCs w:val="24"/>
        </w:rPr>
        <w:t>Дума РЕШИЛА:</w:t>
      </w:r>
    </w:p>
    <w:p w:rsidR="0038267B" w:rsidRPr="0038267B" w:rsidRDefault="0038267B" w:rsidP="0038267B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8267B">
        <w:rPr>
          <w:sz w:val="24"/>
          <w:szCs w:val="24"/>
        </w:rPr>
        <w:t xml:space="preserve">1. Утвердить </w:t>
      </w:r>
      <w:r w:rsidRPr="00352844">
        <w:rPr>
          <w:sz w:val="24"/>
          <w:szCs w:val="24"/>
        </w:rPr>
        <w:t>сводк</w:t>
      </w:r>
      <w:r w:rsidRPr="0038267B">
        <w:rPr>
          <w:sz w:val="24"/>
          <w:szCs w:val="24"/>
        </w:rPr>
        <w:t>у</w:t>
      </w:r>
      <w:r w:rsidRPr="00352844">
        <w:rPr>
          <w:sz w:val="24"/>
          <w:szCs w:val="24"/>
        </w:rPr>
        <w:t xml:space="preserve"> предложений общественных объединений, юридических и физических лиц, поступивших по итогам обсуждения пр</w:t>
      </w:r>
      <w:r>
        <w:rPr>
          <w:sz w:val="24"/>
          <w:szCs w:val="24"/>
        </w:rPr>
        <w:t>о</w:t>
      </w:r>
      <w:r w:rsidRPr="00352844">
        <w:rPr>
          <w:sz w:val="24"/>
          <w:szCs w:val="24"/>
        </w:rPr>
        <w:t>ектов правовых актов Думы Города Томска о нормировании</w:t>
      </w:r>
      <w:r w:rsidR="00C5094A">
        <w:rPr>
          <w:sz w:val="24"/>
          <w:szCs w:val="24"/>
        </w:rPr>
        <w:t>,</w:t>
      </w:r>
      <w:r w:rsidRPr="0038267B">
        <w:rPr>
          <w:sz w:val="24"/>
          <w:szCs w:val="24"/>
        </w:rPr>
        <w:t xml:space="preserve"> согласно </w:t>
      </w:r>
      <w:proofErr w:type="gramStart"/>
      <w:r w:rsidR="00FA7E8A">
        <w:rPr>
          <w:sz w:val="24"/>
          <w:szCs w:val="24"/>
        </w:rPr>
        <w:t>приложению</w:t>
      </w:r>
      <w:proofErr w:type="gramEnd"/>
      <w:r w:rsidR="00FA7E8A" w:rsidRPr="0038267B">
        <w:rPr>
          <w:sz w:val="24"/>
          <w:szCs w:val="24"/>
        </w:rPr>
        <w:t xml:space="preserve"> к</w:t>
      </w:r>
      <w:r w:rsidRPr="0038267B">
        <w:rPr>
          <w:sz w:val="24"/>
          <w:szCs w:val="24"/>
        </w:rPr>
        <w:t xml:space="preserve"> настоящему решению.</w:t>
      </w:r>
    </w:p>
    <w:p w:rsidR="00FA7E8A" w:rsidRDefault="0038267B" w:rsidP="0038267B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8267B">
        <w:rPr>
          <w:sz w:val="24"/>
          <w:szCs w:val="24"/>
        </w:rPr>
        <w:t>2. </w:t>
      </w:r>
      <w:r w:rsidR="00FA7E8A">
        <w:rPr>
          <w:sz w:val="24"/>
          <w:szCs w:val="24"/>
        </w:rPr>
        <w:t xml:space="preserve">Учесть </w:t>
      </w:r>
      <w:r w:rsidR="00FA7E8A" w:rsidRPr="00352844">
        <w:rPr>
          <w:sz w:val="24"/>
          <w:szCs w:val="24"/>
        </w:rPr>
        <w:t>предложени</w:t>
      </w:r>
      <w:r w:rsidR="00197532">
        <w:rPr>
          <w:sz w:val="24"/>
          <w:szCs w:val="24"/>
        </w:rPr>
        <w:t>я</w:t>
      </w:r>
      <w:r w:rsidR="00FA7E8A" w:rsidRPr="00352844">
        <w:rPr>
          <w:sz w:val="24"/>
          <w:szCs w:val="24"/>
        </w:rPr>
        <w:t xml:space="preserve"> общественных объединений, юридических и физических лиц, поступивши</w:t>
      </w:r>
      <w:r w:rsidR="00D64F03">
        <w:rPr>
          <w:sz w:val="24"/>
          <w:szCs w:val="24"/>
        </w:rPr>
        <w:t>е</w:t>
      </w:r>
      <w:r w:rsidR="00FA7E8A" w:rsidRPr="00352844">
        <w:rPr>
          <w:sz w:val="24"/>
          <w:szCs w:val="24"/>
        </w:rPr>
        <w:t xml:space="preserve"> по итогам обсуждения пр</w:t>
      </w:r>
      <w:r w:rsidR="00FA7E8A">
        <w:rPr>
          <w:sz w:val="24"/>
          <w:szCs w:val="24"/>
        </w:rPr>
        <w:t>о</w:t>
      </w:r>
      <w:r w:rsidR="00FA7E8A" w:rsidRPr="00352844">
        <w:rPr>
          <w:sz w:val="24"/>
          <w:szCs w:val="24"/>
        </w:rPr>
        <w:t>ектов правовых актов Думы Города Томска</w:t>
      </w:r>
      <w:r w:rsidR="00C5094A">
        <w:rPr>
          <w:sz w:val="24"/>
          <w:szCs w:val="24"/>
        </w:rPr>
        <w:t xml:space="preserve"> о</w:t>
      </w:r>
      <w:r w:rsidR="00537215">
        <w:rPr>
          <w:sz w:val="24"/>
          <w:szCs w:val="24"/>
        </w:rPr>
        <w:t> </w:t>
      </w:r>
      <w:r w:rsidR="00C5094A">
        <w:rPr>
          <w:sz w:val="24"/>
          <w:szCs w:val="24"/>
        </w:rPr>
        <w:t>нормировании,</w:t>
      </w:r>
      <w:r w:rsidR="00FA7E8A">
        <w:rPr>
          <w:sz w:val="24"/>
          <w:szCs w:val="24"/>
        </w:rPr>
        <w:t xml:space="preserve"> при принятии</w:t>
      </w:r>
      <w:r w:rsidR="00FA7E8A" w:rsidRPr="00FA7E8A">
        <w:rPr>
          <w:sz w:val="24"/>
          <w:szCs w:val="24"/>
        </w:rPr>
        <w:t xml:space="preserve"> </w:t>
      </w:r>
      <w:r w:rsidR="00FA7E8A" w:rsidRPr="00352844">
        <w:rPr>
          <w:sz w:val="24"/>
          <w:szCs w:val="24"/>
        </w:rPr>
        <w:t>пр</w:t>
      </w:r>
      <w:r w:rsidR="00FA7E8A">
        <w:rPr>
          <w:sz w:val="24"/>
          <w:szCs w:val="24"/>
        </w:rPr>
        <w:t>о</w:t>
      </w:r>
      <w:r w:rsidR="00FA7E8A" w:rsidRPr="00352844">
        <w:rPr>
          <w:sz w:val="24"/>
          <w:szCs w:val="24"/>
        </w:rPr>
        <w:t>ектов прав</w:t>
      </w:r>
      <w:r w:rsidR="00537215">
        <w:rPr>
          <w:sz w:val="24"/>
          <w:szCs w:val="24"/>
        </w:rPr>
        <w:t>овых актов Думы Города Томска о </w:t>
      </w:r>
      <w:r w:rsidR="00FA7E8A" w:rsidRPr="00352844">
        <w:rPr>
          <w:sz w:val="24"/>
          <w:szCs w:val="24"/>
        </w:rPr>
        <w:t>нормировании</w:t>
      </w:r>
      <w:r w:rsidR="00FA7E8A">
        <w:rPr>
          <w:sz w:val="24"/>
          <w:szCs w:val="24"/>
        </w:rPr>
        <w:t>.</w:t>
      </w:r>
    </w:p>
    <w:p w:rsidR="0038267B" w:rsidRPr="00A42469" w:rsidRDefault="0038267B" w:rsidP="00A42469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38267B">
        <w:rPr>
          <w:sz w:val="24"/>
          <w:szCs w:val="24"/>
        </w:rPr>
        <w:t xml:space="preserve">3. Разместить </w:t>
      </w:r>
      <w:r w:rsidR="00FA7E8A" w:rsidRPr="00352844">
        <w:rPr>
          <w:sz w:val="24"/>
          <w:szCs w:val="24"/>
        </w:rPr>
        <w:t>сводк</w:t>
      </w:r>
      <w:r w:rsidR="00FA7E8A" w:rsidRPr="0038267B">
        <w:rPr>
          <w:sz w:val="24"/>
          <w:szCs w:val="24"/>
        </w:rPr>
        <w:t>у</w:t>
      </w:r>
      <w:r w:rsidR="00FA7E8A" w:rsidRPr="00352844">
        <w:rPr>
          <w:sz w:val="24"/>
          <w:szCs w:val="24"/>
        </w:rPr>
        <w:t xml:space="preserve"> предложений общественных объединений, юридических и физических лиц, поступивших по итогам обсуждения пр</w:t>
      </w:r>
      <w:r w:rsidR="00FA7E8A">
        <w:rPr>
          <w:sz w:val="24"/>
          <w:szCs w:val="24"/>
        </w:rPr>
        <w:t>о</w:t>
      </w:r>
      <w:r w:rsidR="00FA7E8A" w:rsidRPr="00352844">
        <w:rPr>
          <w:sz w:val="24"/>
          <w:szCs w:val="24"/>
        </w:rPr>
        <w:t xml:space="preserve">ектов правовых актов Думы Города Томска о </w:t>
      </w:r>
      <w:r w:rsidR="00FA7E8A" w:rsidRPr="00A42469">
        <w:rPr>
          <w:sz w:val="24"/>
          <w:szCs w:val="24"/>
        </w:rPr>
        <w:t>нормировании</w:t>
      </w:r>
      <w:r w:rsidR="00C5094A">
        <w:rPr>
          <w:sz w:val="24"/>
          <w:szCs w:val="24"/>
        </w:rPr>
        <w:t>,</w:t>
      </w:r>
      <w:r w:rsidR="00FA7E8A" w:rsidRPr="00A42469">
        <w:rPr>
          <w:sz w:val="24"/>
          <w:szCs w:val="24"/>
        </w:rPr>
        <w:t xml:space="preserve"> </w:t>
      </w:r>
      <w:r w:rsidRPr="00A42469">
        <w:rPr>
          <w:sz w:val="24"/>
          <w:szCs w:val="24"/>
        </w:rPr>
        <w:t xml:space="preserve">на официальном сайте Думы Города Томска </w:t>
      </w:r>
      <w:r w:rsidR="00FA7E8A" w:rsidRPr="00A42469">
        <w:rPr>
          <w:sz w:val="24"/>
          <w:szCs w:val="24"/>
        </w:rPr>
        <w:t>не позднее 3 рабочих дней со дня вступления в силу настоящего решения.</w:t>
      </w:r>
    </w:p>
    <w:p w:rsidR="0038267B" w:rsidRPr="00A42469" w:rsidRDefault="00D64F03" w:rsidP="00A42469">
      <w:pPr>
        <w:pStyle w:val="a4"/>
        <w:tabs>
          <w:tab w:val="left" w:pos="7667"/>
        </w:tabs>
        <w:spacing w:line="360" w:lineRule="auto"/>
        <w:ind w:left="0" w:right="99" w:firstLine="567"/>
        <w:jc w:val="both"/>
      </w:pPr>
      <w:r>
        <w:t>4. </w:t>
      </w:r>
      <w:r w:rsidR="0038267B" w:rsidRPr="00A42469">
        <w:t>Настоящее решение вступает в силу с даты его принятия.</w:t>
      </w:r>
    </w:p>
    <w:p w:rsidR="00A42469" w:rsidRPr="00A42469" w:rsidRDefault="00D64F03" w:rsidP="00A424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2469" w:rsidRPr="00A42469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Регламенту и правовым вопросам Думы Города Томска (</w:t>
      </w:r>
      <w:proofErr w:type="spellStart"/>
      <w:r w:rsidR="00A42469" w:rsidRPr="00A42469">
        <w:rPr>
          <w:rFonts w:ascii="Times New Roman" w:hAnsi="Times New Roman" w:cs="Times New Roman"/>
          <w:sz w:val="24"/>
          <w:szCs w:val="24"/>
        </w:rPr>
        <w:t>М.Ю.Корнев</w:t>
      </w:r>
      <w:proofErr w:type="spellEnd"/>
      <w:r w:rsidR="00A42469" w:rsidRPr="00A42469">
        <w:rPr>
          <w:rFonts w:ascii="Times New Roman" w:hAnsi="Times New Roman" w:cs="Times New Roman"/>
          <w:sz w:val="24"/>
          <w:szCs w:val="24"/>
        </w:rPr>
        <w:t>).</w:t>
      </w:r>
    </w:p>
    <w:p w:rsidR="004F6233" w:rsidRDefault="004F6233" w:rsidP="00DF24B5">
      <w:pPr>
        <w:tabs>
          <w:tab w:val="left" w:pos="7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BAD" w:rsidRDefault="0038267B" w:rsidP="00DF24B5">
      <w:pPr>
        <w:tabs>
          <w:tab w:val="left" w:pos="7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7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8267B" w:rsidRPr="0038267B" w:rsidRDefault="0038267B" w:rsidP="00DF24B5">
      <w:pPr>
        <w:tabs>
          <w:tab w:val="left" w:pos="7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7B">
        <w:rPr>
          <w:rFonts w:ascii="Times New Roman" w:hAnsi="Times New Roman" w:cs="Times New Roman"/>
          <w:sz w:val="24"/>
          <w:szCs w:val="24"/>
        </w:rPr>
        <w:t xml:space="preserve">Думы Города Томска                     </w:t>
      </w:r>
      <w:r w:rsidRPr="0038267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8267B">
        <w:rPr>
          <w:rFonts w:ascii="Times New Roman" w:hAnsi="Times New Roman" w:cs="Times New Roman"/>
          <w:sz w:val="24"/>
          <w:szCs w:val="24"/>
        </w:rPr>
        <w:t>С.Ю.Панов</w:t>
      </w:r>
      <w:proofErr w:type="spellEnd"/>
      <w:r w:rsidRPr="003826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C91" w:rsidRDefault="00D55C91" w:rsidP="00964DF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D55C91" w:rsidRDefault="00D55C91" w:rsidP="00964DF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Города Томска</w:t>
      </w:r>
    </w:p>
    <w:p w:rsidR="00D55C91" w:rsidRDefault="00D55C91" w:rsidP="00964DF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4BAD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4BAD">
        <w:rPr>
          <w:rFonts w:ascii="Times New Roman" w:hAnsi="Times New Roman" w:cs="Times New Roman"/>
          <w:sz w:val="24"/>
          <w:szCs w:val="24"/>
        </w:rPr>
        <w:t>12</w:t>
      </w:r>
      <w:r w:rsidR="00B31D44">
        <w:rPr>
          <w:rFonts w:ascii="Times New Roman" w:hAnsi="Times New Roman" w:cs="Times New Roman"/>
          <w:sz w:val="24"/>
          <w:szCs w:val="24"/>
        </w:rPr>
        <w:t>.2016 № </w:t>
      </w:r>
      <w:r w:rsidR="003532B8">
        <w:rPr>
          <w:rFonts w:ascii="Times New Roman" w:hAnsi="Times New Roman" w:cs="Times New Roman"/>
          <w:sz w:val="24"/>
          <w:szCs w:val="24"/>
        </w:rPr>
        <w:t>437</w:t>
      </w:r>
      <w:bookmarkStart w:id="0" w:name="_GoBack"/>
      <w:bookmarkEnd w:id="0"/>
    </w:p>
    <w:p w:rsidR="00D55C91" w:rsidRDefault="00D55C91">
      <w:pPr>
        <w:rPr>
          <w:rFonts w:ascii="Times New Roman" w:hAnsi="Times New Roman" w:cs="Times New Roman"/>
          <w:sz w:val="24"/>
          <w:szCs w:val="24"/>
        </w:rPr>
      </w:pPr>
    </w:p>
    <w:p w:rsidR="00AD1887" w:rsidRDefault="00AD1887" w:rsidP="00AD1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D1887">
        <w:rPr>
          <w:rFonts w:ascii="Times New Roman" w:hAnsi="Times New Roman" w:cs="Times New Roman"/>
          <w:sz w:val="24"/>
          <w:szCs w:val="24"/>
        </w:rPr>
        <w:t>водк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1887">
        <w:rPr>
          <w:rFonts w:ascii="Times New Roman" w:hAnsi="Times New Roman" w:cs="Times New Roman"/>
          <w:sz w:val="24"/>
          <w:szCs w:val="24"/>
        </w:rPr>
        <w:t xml:space="preserve"> предложений общественных объединений, юридических и физических лиц, поступивших по итогам обсуждения проектов правовых актов Думы Города Томска о</w:t>
      </w:r>
      <w:r w:rsidR="00C5094A">
        <w:rPr>
          <w:rFonts w:ascii="Times New Roman" w:hAnsi="Times New Roman" w:cs="Times New Roman"/>
          <w:sz w:val="24"/>
          <w:szCs w:val="24"/>
        </w:rPr>
        <w:t> </w:t>
      </w:r>
      <w:r w:rsidRPr="00AD1887">
        <w:rPr>
          <w:rFonts w:ascii="Times New Roman" w:hAnsi="Times New Roman" w:cs="Times New Roman"/>
          <w:sz w:val="24"/>
          <w:szCs w:val="24"/>
        </w:rPr>
        <w:t>нормировании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604"/>
        <w:gridCol w:w="1973"/>
        <w:gridCol w:w="5220"/>
        <w:gridCol w:w="2410"/>
      </w:tblGrid>
      <w:tr w:rsidR="00944D79" w:rsidRPr="005C0E62" w:rsidTr="00197532">
        <w:tc>
          <w:tcPr>
            <w:tcW w:w="604" w:type="dxa"/>
            <w:vAlign w:val="center"/>
          </w:tcPr>
          <w:p w:rsidR="0097619C" w:rsidRPr="005C0E62" w:rsidRDefault="0097619C" w:rsidP="009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3" w:type="dxa"/>
            <w:vAlign w:val="center"/>
          </w:tcPr>
          <w:p w:rsidR="0097619C" w:rsidRPr="005C0E62" w:rsidRDefault="0097619C" w:rsidP="009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6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20" w:type="dxa"/>
            <w:vAlign w:val="center"/>
          </w:tcPr>
          <w:p w:rsidR="0097619C" w:rsidRPr="005C0E62" w:rsidRDefault="0097619C" w:rsidP="009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предложения</w:t>
            </w:r>
          </w:p>
        </w:tc>
        <w:tc>
          <w:tcPr>
            <w:tcW w:w="2410" w:type="dxa"/>
            <w:vAlign w:val="center"/>
          </w:tcPr>
          <w:p w:rsidR="0097619C" w:rsidRPr="005C0E62" w:rsidRDefault="0097619C" w:rsidP="009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  <w:p w:rsidR="0097619C" w:rsidRPr="005C0E62" w:rsidRDefault="0097619C" w:rsidP="009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2">
              <w:rPr>
                <w:rFonts w:ascii="Times New Roman" w:hAnsi="Times New Roman" w:cs="Times New Roman"/>
                <w:sz w:val="24"/>
                <w:szCs w:val="24"/>
              </w:rPr>
              <w:t>(учесть/не учесть)</w:t>
            </w:r>
          </w:p>
        </w:tc>
      </w:tr>
      <w:tr w:rsidR="00944D79" w:rsidRPr="005C0E62" w:rsidTr="00197532">
        <w:tc>
          <w:tcPr>
            <w:tcW w:w="604" w:type="dxa"/>
            <w:vAlign w:val="center"/>
          </w:tcPr>
          <w:p w:rsidR="0097619C" w:rsidRPr="005C0E62" w:rsidRDefault="0097619C" w:rsidP="009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vAlign w:val="center"/>
          </w:tcPr>
          <w:p w:rsidR="0097619C" w:rsidRPr="005C0E62" w:rsidRDefault="0097619C" w:rsidP="009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62">
              <w:rPr>
                <w:rFonts w:ascii="Times New Roman" w:hAnsi="Times New Roman" w:cs="Times New Roman"/>
                <w:sz w:val="24"/>
                <w:szCs w:val="24"/>
              </w:rPr>
              <w:t>Заячук</w:t>
            </w:r>
            <w:proofErr w:type="spellEnd"/>
            <w:r w:rsidRPr="005C0E62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5220" w:type="dxa"/>
            <w:vAlign w:val="center"/>
          </w:tcPr>
          <w:p w:rsidR="0097619C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2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«Город Томск», содержанию указанных актов и обеспечению их исполнения (Постановление Администрации Города Томска от 18.05.2016 №</w:t>
            </w:r>
            <w:r w:rsidR="00C509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418) содержится требование о разработке по соответствующим вопросам двух самостоятельных муниципальных правовых актов.</w:t>
            </w:r>
          </w:p>
          <w:p w:rsidR="0097619C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этой причине </w:t>
            </w:r>
            <w:r w:rsidR="0019753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издать два решения Думы Города Томска: </w:t>
            </w:r>
          </w:p>
          <w:p w:rsidR="0097619C" w:rsidRDefault="00C5094A" w:rsidP="00197532">
            <w:pPr>
              <w:ind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619C">
              <w:rPr>
                <w:rFonts w:ascii="Times New Roman" w:hAnsi="Times New Roman" w:cs="Times New Roman"/>
                <w:sz w:val="24"/>
                <w:szCs w:val="24"/>
              </w:rPr>
              <w:t>ервое – об утверждении нормативных затрат на обеспечение функций Думы Города Томска;</w:t>
            </w:r>
          </w:p>
          <w:p w:rsidR="0097619C" w:rsidRPr="005C0E62" w:rsidRDefault="00C5094A" w:rsidP="00197532">
            <w:pPr>
              <w:ind w:firstLine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19C">
              <w:rPr>
                <w:rFonts w:ascii="Times New Roman" w:hAnsi="Times New Roman" w:cs="Times New Roman"/>
                <w:sz w:val="24"/>
                <w:szCs w:val="24"/>
              </w:rPr>
              <w:t>торое – об утверждении требований к отдельным видам товаров, работ, услуг (в том числе предельные цены товаров, работ,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19C">
              <w:rPr>
                <w:rFonts w:ascii="Times New Roman" w:hAnsi="Times New Roman" w:cs="Times New Roman"/>
                <w:sz w:val="24"/>
                <w:szCs w:val="24"/>
              </w:rPr>
              <w:t xml:space="preserve"> закупаемым Думой Города Томска.</w:t>
            </w:r>
          </w:p>
        </w:tc>
        <w:tc>
          <w:tcPr>
            <w:tcW w:w="2410" w:type="dxa"/>
            <w:vAlign w:val="center"/>
          </w:tcPr>
          <w:p w:rsidR="0097619C" w:rsidRPr="005C0E62" w:rsidRDefault="0097619C" w:rsidP="009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2">
              <w:rPr>
                <w:rFonts w:ascii="Times New Roman" w:hAnsi="Times New Roman" w:cs="Times New Roman"/>
                <w:sz w:val="24"/>
                <w:szCs w:val="24"/>
              </w:rPr>
              <w:t>Учесть</w:t>
            </w:r>
          </w:p>
        </w:tc>
      </w:tr>
      <w:tr w:rsidR="00944D79" w:rsidRPr="005C0E62" w:rsidTr="00197532">
        <w:tc>
          <w:tcPr>
            <w:tcW w:w="604" w:type="dxa"/>
            <w:vAlign w:val="center"/>
          </w:tcPr>
          <w:p w:rsidR="0097619C" w:rsidRPr="005C0E62" w:rsidRDefault="0097619C" w:rsidP="009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vAlign w:val="center"/>
          </w:tcPr>
          <w:p w:rsidR="0097619C" w:rsidRPr="005C0E62" w:rsidRDefault="0097619C" w:rsidP="009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62">
              <w:rPr>
                <w:rFonts w:ascii="Times New Roman" w:hAnsi="Times New Roman" w:cs="Times New Roman"/>
                <w:sz w:val="24"/>
                <w:szCs w:val="24"/>
              </w:rPr>
              <w:t>Катушенко</w:t>
            </w:r>
            <w:proofErr w:type="spellEnd"/>
            <w:r w:rsidRPr="005C0E62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5220" w:type="dxa"/>
            <w:vAlign w:val="center"/>
          </w:tcPr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Раздел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приложение 1.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пункту 4 раздела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редложение: словосочетание «депутатский значок» заменить на «нагрудный знак депутата Думы Города Томска»; пересмотреть количество приобретаемого товара.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пункту 5 раздела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редложение: при расшифровке «</w:t>
            </w:r>
            <w:proofErr w:type="spellStart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Укв</w:t>
            </w:r>
            <w:proofErr w:type="spellEnd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 заседания»: 1) исключить обеспечение питьевой водой только одной конкретной фракции; 2) указать на какой период приобретается утвержденное количество воды.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пункту 6 раздела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редложения</w:t>
            </w:r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аналогичные предложениям, указанным по пункту 5.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пункту 7 раздела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редложение: скорректировать содержание нормативных затрат (понятие), указанных в данном пункте.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пункту 8 раздела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редложение: скорректировать формулировку, учитывая закупаемые виды услуг.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пункту 11 раздела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редложение: пересмотреть количество рабочих дней в году на 247 (согласно производственному календарю на 2017 г. количество рабочих дней – 247), либо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заменить число дней на показатель (например, </w:t>
            </w:r>
            <w:proofErr w:type="spellStart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</w:t>
            </w:r>
            <w:proofErr w:type="spellEnd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количество рабочих дней в году).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предлагаю предусмотреть нормативы цены для рамок багетных; новогодней атрибутики (ель новогодняя, елочные игрушки, гирлянды); уличных флагов (флаг города Томска, флаг РФ); стаканов, чашек, посуды, сервиза столового, набора столовых приборов; нормативы цены на  приобретение санитарно-гигиенического оборудования (диспенсеров для туалетной бумаги, диспенсеров для полотенец, диспенсеров для мыла, диспенсеров для бумажных покрытий на унитаз, комплекта </w:t>
            </w:r>
            <w:proofErr w:type="spellStart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инсталяции</w:t>
            </w:r>
            <w:proofErr w:type="spellEnd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унитаза, подвесной раковины, </w:t>
            </w:r>
            <w:proofErr w:type="spellStart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полупьедистала</w:t>
            </w:r>
            <w:proofErr w:type="spellEnd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раковины, комплекта раковины с пьедесталом, тумбы и пенала для раковины, писсуара подвесного, смесителя для раковины, водонагревателя, крючков, механизма смыва, радиатор</w:t>
            </w:r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094A"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алюмин</w:t>
            </w:r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иевого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сифона для раковины, машины посудомоечной); нормативы цены на приобретение оборудования для архитектурной подсветки здания (светильников на кронштейне); нормативы цены на приобретение товаров строительно-хозяйственного назначения (товаров</w:t>
            </w:r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таких как сетка москитная, замки дверные, цилиндры на замок, навесные замки для шкафа, замок тросовый, средство для мойки и ухода за автомобилем, автошампунь, прожектор уличный, растворитель </w:t>
            </w:r>
            <w:proofErr w:type="spellStart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уайт</w:t>
            </w:r>
            <w:proofErr w:type="spellEnd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-спирит, растворитель аммиак, растворитель ацетон, эмаль для радиаторов, преобразователь ржавчины, полиэтиленовая пленка, лак битумный, краска ВД, лампы светодиодные, влагозащищенный светильник, стартер, светодиодный светильник, потолочная плита (</w:t>
            </w:r>
            <w:proofErr w:type="spellStart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Армстронг</w:t>
            </w:r>
            <w:proofErr w:type="spellEnd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защелка межкомнатная, задвижка </w:t>
            </w:r>
            <w:r w:rsidR="00C5094A"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мебельная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набор для крепления стеклянной дверки, петля дверная, батарейки, колесико для кресла, петля мебельная, опора регулируемая под ЛДСП, шуруп, дюбель, дюбель-гвоздь, сгоны, кран </w:t>
            </w:r>
            <w:proofErr w:type="spellStart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шаровый</w:t>
            </w:r>
            <w:proofErr w:type="spellEnd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дюбель-хомут, вилка кабельная, вилка электрическая, хомуты, монтажная площадка, адаптер-переходник с заземлением, шнур, тройник, патроны, розетки, набор дрель, </w:t>
            </w:r>
            <w:proofErr w:type="spellStart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шуруповерт</w:t>
            </w:r>
            <w:proofErr w:type="spellEnd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пылесос строительный, звонок, шпатель, </w:t>
            </w:r>
            <w:proofErr w:type="spellStart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кордщетка</w:t>
            </w:r>
            <w:proofErr w:type="spellEnd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(набор), заглушка, накладки фетровые самоклеящиеся, щетка латунная,</w:t>
            </w:r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амортизатор </w:t>
            </w:r>
            <w:proofErr w:type="spellStart"/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самоклеющийся</w:t>
            </w:r>
            <w:proofErr w:type="spellEnd"/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шуру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п-полукольцо, изолента, сверло, кабель-каналы, кабель ВВГ, выключатели автоматические, устройство защитного отключения, сжим, провод, бокс, набор кованых бит, светильник ЛПО,</w:t>
            </w:r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пропитка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комплексной огнезащиты и </w:t>
            </w:r>
            <w:proofErr w:type="spellStart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биозащиты</w:t>
            </w:r>
            <w:proofErr w:type="spellEnd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древесины, герметик силикон).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Обращаю ваше внимание, что в приложении 1 отсутствуют формулы для расчета затрат: на приобретение цветочной продукции для вручения (возложения); затраты на сервисное обслуживание автоматизированного узла коммерческого учета тепловой энергии и гидравлическое испытание теплового узла и системы отопления; затраты на техническое обслуживание теплообменного оборудования; затраты на тех</w:t>
            </w:r>
            <w:r w:rsidR="00C5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ническое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обслуживание и планово-предупредительный ремонт систем пожарной сигнализации; затраты на услуги автовышки; затраты на обеспечение организации справочной литературой; затраты на очистку крыши административного здания от снега, наледи и </w:t>
            </w:r>
            <w:proofErr w:type="spellStart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снежноледяных</w:t>
            </w:r>
            <w:proofErr w:type="spellEnd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образований, уборке и вывозу сброшенного снега, наледи, сосулек после очистки крыши здания.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 обращаю ваше внимание, что не учтены затраты на услуги нотариуса, приобретение открыток, а также товары на буфетное обслуживание: чай, кофе, сливки, сахар, печенье.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Раздел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II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приложение 1. 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Обращаю ваше внимание, что согласно Закону Томской области от 11.09.2007 №198-ОЗ «О муниципальной службе Томской области</w:t>
            </w:r>
            <w:proofErr w:type="gramStart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должности муниципальной службы подразделяются на группы, а не на категории.  Также обращаю внимание, что при установлении нормативов следует учитывать не только разделение муниципальных служащих на группы, но и наличие лиц, замещающих муниципальные должности.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пункту 5 раздела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Приложения 1 предлагаю рассмотреть возможность исключения примечания о том, в каких случаях устанавливается тот или иной принтер, поскольку документ регулирует вопросы нормирования затрат на закупку товаров, работ и услуг. Аналогичное замечание по пункту 7 раздела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Приложения 1.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пункте 12 раздела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Приложения 1 относительно мебели для кабинетов сотрудников и персонала указан норматив цены для стола письменного в трех разных суммах. Аналогичное замечание к нормативу цены относительно стеллажа в серверном помещении. Подразделение стула для совещания на тип 1 и тип 2 для председателей комитета. 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пункте 13 раздела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Приложения 1 указано три норматива цены на ножницы. Отсутствует описание их различий. Аналогичное замечание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относительно нормативов цены на планшет, подставку-органайзер, ручку гелиевую, точилку для карандашей.</w:t>
            </w:r>
          </w:p>
          <w:p w:rsidR="0097619C" w:rsidRPr="005C0E62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пункте 14 раздела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Приложения 1 в разделе «Прочие основные средства» указано два норматива цены на корзину для бумаг. Отсутствует описание их различий.</w:t>
            </w:r>
          </w:p>
          <w:p w:rsidR="0097619C" w:rsidRPr="00312683" w:rsidRDefault="0097619C" w:rsidP="00197532">
            <w:pPr>
              <w:ind w:firstLine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пункте 15 раздела 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C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Приложения 1 указано два норматива цены на туалетную бумагу в мини рулонах и на фонарь светодиодный. Отсутствует описание их различий.</w:t>
            </w:r>
          </w:p>
        </w:tc>
        <w:tc>
          <w:tcPr>
            <w:tcW w:w="2410" w:type="dxa"/>
            <w:vAlign w:val="center"/>
          </w:tcPr>
          <w:p w:rsidR="00944D79" w:rsidRDefault="00944D79" w:rsidP="0094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</w:t>
            </w:r>
          </w:p>
          <w:p w:rsidR="0097619C" w:rsidRPr="005C0E62" w:rsidRDefault="00944D79" w:rsidP="0094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учете   руководствоваться наличием нужды в закупке товаров, определенных автором предложений)</w:t>
            </w:r>
          </w:p>
        </w:tc>
      </w:tr>
    </w:tbl>
    <w:p w:rsidR="0097619C" w:rsidRPr="00872D2F" w:rsidRDefault="0097619C" w:rsidP="00197532">
      <w:pPr>
        <w:jc w:val="both"/>
        <w:rPr>
          <w:b/>
          <w:sz w:val="28"/>
          <w:szCs w:val="28"/>
        </w:rPr>
      </w:pPr>
    </w:p>
    <w:sectPr w:rsidR="0097619C" w:rsidRPr="00872D2F" w:rsidSect="004F623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3204"/>
    <w:multiLevelType w:val="hybridMultilevel"/>
    <w:tmpl w:val="F96672F4"/>
    <w:lvl w:ilvl="0" w:tplc="BF6E5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44"/>
    <w:rsid w:val="00116CF3"/>
    <w:rsid w:val="00197532"/>
    <w:rsid w:val="0020500C"/>
    <w:rsid w:val="0023691E"/>
    <w:rsid w:val="00352844"/>
    <w:rsid w:val="003532B8"/>
    <w:rsid w:val="0038267B"/>
    <w:rsid w:val="00494BAD"/>
    <w:rsid w:val="004D41AD"/>
    <w:rsid w:val="004F6233"/>
    <w:rsid w:val="00537215"/>
    <w:rsid w:val="00663F8A"/>
    <w:rsid w:val="007C187D"/>
    <w:rsid w:val="007D3B63"/>
    <w:rsid w:val="00904470"/>
    <w:rsid w:val="00927D8A"/>
    <w:rsid w:val="00944D79"/>
    <w:rsid w:val="00964DF4"/>
    <w:rsid w:val="0097619C"/>
    <w:rsid w:val="00982953"/>
    <w:rsid w:val="00A01759"/>
    <w:rsid w:val="00A24179"/>
    <w:rsid w:val="00A42469"/>
    <w:rsid w:val="00AD1887"/>
    <w:rsid w:val="00B31D44"/>
    <w:rsid w:val="00B870DE"/>
    <w:rsid w:val="00C5094A"/>
    <w:rsid w:val="00C66BE0"/>
    <w:rsid w:val="00D55C91"/>
    <w:rsid w:val="00D64F03"/>
    <w:rsid w:val="00D71544"/>
    <w:rsid w:val="00DF24B5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3526-6BF1-4EC1-9DF5-1C1FEAB4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267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82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382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4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7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Вотенцева Екатерина Андреевна</dc:creator>
  <cp:keywords/>
  <dc:description/>
  <cp:lastModifiedBy>Селезнева Надежда Геннадьевна</cp:lastModifiedBy>
  <cp:revision>19</cp:revision>
  <cp:lastPrinted>2016-12-08T05:59:00Z</cp:lastPrinted>
  <dcterms:created xsi:type="dcterms:W3CDTF">2016-11-28T05:46:00Z</dcterms:created>
  <dcterms:modified xsi:type="dcterms:W3CDTF">2016-12-09T03:46:00Z</dcterms:modified>
</cp:coreProperties>
</file>